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CBDAF65" w:rsidR="00731946" w:rsidRPr="009F4785" w:rsidRDefault="00E4276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BA2615">
        <w:rPr>
          <w:snapToGrid/>
          <w:color w:val="000000" w:themeColor="text1"/>
          <w:sz w:val="24"/>
          <w:szCs w:val="24"/>
        </w:rPr>
        <w:t>20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7CD9C850" w:rsidR="00214FA9" w:rsidRPr="00214FA9" w:rsidRDefault="00BA2615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открытого конкурса</w:t>
      </w:r>
      <w:bookmarkStart w:id="0" w:name="_GoBack"/>
      <w:bookmarkEnd w:id="0"/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7FEA37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E42766">
        <w:rPr>
          <w:color w:val="000000" w:themeColor="text1"/>
          <w:sz w:val="32"/>
          <w:szCs w:val="32"/>
        </w:rPr>
        <w:t xml:space="preserve"> на по</w:t>
      </w:r>
      <w:r>
        <w:rPr>
          <w:color w:val="000000" w:themeColor="text1"/>
          <w:sz w:val="32"/>
          <w:szCs w:val="32"/>
        </w:rPr>
        <w:t>ставк</w:t>
      </w:r>
      <w:r w:rsidR="00E42766">
        <w:rPr>
          <w:color w:val="000000" w:themeColor="text1"/>
          <w:sz w:val="32"/>
          <w:szCs w:val="32"/>
        </w:rPr>
        <w:t>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42766">
        <w:rPr>
          <w:color w:val="000000" w:themeColor="text1"/>
          <w:sz w:val="32"/>
          <w:szCs w:val="32"/>
        </w:rPr>
        <w:t>«Автозапчастей для легковых, грузовых автомобилей и спецтехники на 2021 год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66D338A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A67B92D" w:rsidR="00731946" w:rsidRPr="00731946" w:rsidRDefault="00731946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ТКС-К-05</w:t>
      </w:r>
      <w:r w:rsidR="00E42766">
        <w:rPr>
          <w:b/>
          <w:sz w:val="32"/>
          <w:szCs w:val="32"/>
        </w:rPr>
        <w:t>4</w:t>
      </w:r>
      <w:r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7353D33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E42766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B825E39" w:rsidR="007C7DEF" w:rsidRPr="009E192C" w:rsidRDefault="0073194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3658DC5" w:rsidR="007C7DEF" w:rsidRPr="009E192C" w:rsidRDefault="0073194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097CDC8" w:rsidR="00987CF8" w:rsidRPr="00F31E4E" w:rsidRDefault="00E42766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E427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Автозапчасти</w:t>
            </w:r>
            <w:r w:rsidRPr="00E427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для легковых, грузовых автомобилей и спецтехники на 2021 год»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757DAFC9" w:rsid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="00E42766">
              <w:rPr>
                <w:b/>
                <w:sz w:val="20"/>
                <w:szCs w:val="20"/>
              </w:rPr>
              <w:t xml:space="preserve"> 35 000 руб. без НДС – </w:t>
            </w:r>
            <w:proofErr w:type="spellStart"/>
            <w:r w:rsidR="00E42766">
              <w:rPr>
                <w:b/>
                <w:sz w:val="20"/>
                <w:szCs w:val="20"/>
              </w:rPr>
              <w:t>Автолампы</w:t>
            </w:r>
            <w:proofErr w:type="spellEnd"/>
            <w:r w:rsidR="00E42766">
              <w:rPr>
                <w:b/>
                <w:sz w:val="20"/>
                <w:szCs w:val="20"/>
              </w:rPr>
              <w:t>, свечи зажигания;</w:t>
            </w:r>
          </w:p>
          <w:p w14:paraId="16FB7B0E" w14:textId="075CF038" w:rsidR="00E42766" w:rsidRPr="00F31E4E" w:rsidRDefault="00E4276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31E4E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– 939 753 руб. без НДС – Грузовой транспорт;</w:t>
            </w:r>
          </w:p>
          <w:p w14:paraId="0FA3B9F5" w14:textId="324FBBAA" w:rsidR="003074C1" w:rsidRDefault="00E4276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31E4E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– 400 000 руб. без НДС – Спецтехника;</w:t>
            </w:r>
          </w:p>
          <w:p w14:paraId="35B8386A" w14:textId="61794098" w:rsidR="00E42766" w:rsidRDefault="00E4276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31E4E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– 70 000 руб. без НДС – Легковые иномарки;</w:t>
            </w:r>
          </w:p>
          <w:p w14:paraId="03325DCA" w14:textId="3E44B1E6" w:rsidR="00E42766" w:rsidRDefault="00E4276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5</w:t>
            </w:r>
            <w:r w:rsidRPr="00F31E4E">
              <w:rPr>
                <w:b/>
                <w:sz w:val="20"/>
                <w:szCs w:val="20"/>
              </w:rPr>
              <w:t xml:space="preserve"> НМЦ</w:t>
            </w:r>
            <w:r>
              <w:rPr>
                <w:b/>
                <w:sz w:val="20"/>
                <w:szCs w:val="20"/>
              </w:rPr>
              <w:t xml:space="preserve"> – 230 000 руб. без НДС – Легковой транспорт.</w:t>
            </w:r>
          </w:p>
          <w:p w14:paraId="25A19927" w14:textId="0F9FE361" w:rsidR="00E42766" w:rsidRDefault="00E4276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стоимость лотов: </w:t>
            </w:r>
            <w:r w:rsidR="00AA1F72">
              <w:rPr>
                <w:b/>
                <w:sz w:val="20"/>
                <w:szCs w:val="20"/>
              </w:rPr>
              <w:t>1 674 753 руб. без НДС.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8AC762B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8D8293B" w14:textId="77777777" w:rsidR="00AA1F72" w:rsidRDefault="00AA1F72" w:rsidP="00AA1F7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</w:t>
            </w:r>
            <w:r w:rsidRPr="00DA3C58">
              <w:lastRenderedPageBreak/>
              <w:t>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2615">
      <w:rPr>
        <w:noProof/>
      </w:rPr>
      <w:t>15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1F72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615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766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008C6-62D2-4C71-B173-6A103748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15</Pages>
  <Words>4989</Words>
  <Characters>33612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159</cp:revision>
  <cp:lastPrinted>2019-02-04T06:44:00Z</cp:lastPrinted>
  <dcterms:created xsi:type="dcterms:W3CDTF">2019-02-07T06:22:00Z</dcterms:created>
  <dcterms:modified xsi:type="dcterms:W3CDTF">2020-10-20T07:55:00Z</dcterms:modified>
</cp:coreProperties>
</file>